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67A5E8" w14:textId="0151EA4F" w:rsidR="009C60F0" w:rsidRDefault="00696088" w:rsidP="005D555B">
      <w:pPr>
        <w:pStyle w:val="Default"/>
        <w:rPr>
          <w:rFonts w:asciiTheme="majorHAnsi" w:hAnsiTheme="majorHAnsi" w:cstheme="majorHAnsi"/>
          <w:iCs/>
          <w:color w:val="3F403F"/>
          <w:spacing w:val="2"/>
        </w:rPr>
      </w:pPr>
      <w:r>
        <w:rPr>
          <w:rFonts w:asciiTheme="majorHAnsi" w:hAnsiTheme="majorHAnsi" w:cstheme="majorHAnsi"/>
          <w:iCs/>
          <w:color w:val="3F403F"/>
          <w:spacing w:val="2"/>
        </w:rPr>
        <w:t>Comprehension Readi</w:t>
      </w:r>
      <w:r w:rsidR="00844E6B">
        <w:rPr>
          <w:rFonts w:asciiTheme="majorHAnsi" w:hAnsiTheme="majorHAnsi" w:cstheme="majorHAnsi"/>
          <w:iCs/>
          <w:color w:val="3F403F"/>
          <w:spacing w:val="2"/>
        </w:rPr>
        <w:t>ng Guide</w:t>
      </w:r>
      <w:r>
        <w:rPr>
          <w:rFonts w:asciiTheme="majorHAnsi" w:hAnsiTheme="majorHAnsi" w:cstheme="majorHAnsi"/>
          <w:iCs/>
          <w:color w:val="3F403F"/>
          <w:spacing w:val="2"/>
        </w:rPr>
        <w:t xml:space="preserve"> Assignment</w:t>
      </w:r>
    </w:p>
    <w:p w14:paraId="5A39F3D9" w14:textId="3B738BD5" w:rsidR="005D555B" w:rsidRDefault="00310F3B" w:rsidP="005D555B">
      <w:pPr>
        <w:pStyle w:val="Default"/>
        <w:rPr>
          <w:rFonts w:asciiTheme="majorHAnsi" w:hAnsiTheme="majorHAnsi" w:cstheme="majorHAnsi"/>
          <w:iCs/>
          <w:color w:val="3F403F"/>
          <w:spacing w:val="2"/>
        </w:rPr>
      </w:pPr>
      <w:r>
        <w:rPr>
          <w:rFonts w:asciiTheme="majorHAnsi" w:hAnsiTheme="majorHAnsi" w:cstheme="majorHAnsi"/>
          <w:iCs/>
          <w:color w:val="3F403F"/>
          <w:spacing w:val="2"/>
        </w:rPr>
        <w:t>Garrett S Haldrup</w:t>
      </w:r>
    </w:p>
    <w:p w14:paraId="510BE15E" w14:textId="77777777" w:rsidR="0048071F" w:rsidRDefault="0048071F" w:rsidP="00901F74">
      <w:pPr>
        <w:pStyle w:val="Default"/>
        <w:ind w:left="720"/>
        <w:rPr>
          <w:rFonts w:asciiTheme="majorHAnsi" w:hAnsiTheme="majorHAnsi" w:cstheme="majorHAnsi"/>
          <w:iCs/>
          <w:color w:val="3F403F"/>
          <w:spacing w:val="2"/>
        </w:rPr>
      </w:pPr>
    </w:p>
    <w:p w14:paraId="10484811" w14:textId="56A90670" w:rsidR="00A220B0" w:rsidRPr="00F93DC2" w:rsidRDefault="00696088" w:rsidP="00696088">
      <w:pPr>
        <w:pStyle w:val="Default"/>
        <w:rPr>
          <w:rFonts w:asciiTheme="majorHAnsi" w:hAnsiTheme="majorHAnsi" w:cs="Calibri Light"/>
          <w:iCs/>
          <w:color w:val="auto"/>
          <w:spacing w:val="2"/>
        </w:rPr>
      </w:pPr>
      <w:r>
        <w:rPr>
          <w:rStyle w:val="Hyperlink"/>
          <w:rFonts w:asciiTheme="majorHAnsi" w:hAnsiTheme="majorHAnsi" w:cs="Calibri Light"/>
          <w:iCs/>
          <w:color w:val="auto"/>
          <w:spacing w:val="2"/>
          <w:u w:val="none"/>
        </w:rPr>
        <w:t xml:space="preserve">Reading: </w:t>
      </w:r>
      <w:r w:rsidR="00A220B0" w:rsidRPr="00A220B0">
        <w:rPr>
          <w:rStyle w:val="Hyperlink"/>
          <w:rFonts w:asciiTheme="majorHAnsi" w:hAnsiTheme="majorHAnsi" w:cs="Calibri Light"/>
          <w:iCs/>
          <w:color w:val="auto"/>
          <w:spacing w:val="2"/>
          <w:u w:val="none"/>
        </w:rPr>
        <w:t xml:space="preserve">David A. Wacks, </w:t>
      </w:r>
      <w:r w:rsidR="00A220B0" w:rsidRPr="00F93DC2">
        <w:rPr>
          <w:rFonts w:asciiTheme="majorHAnsi" w:hAnsiTheme="majorHAnsi" w:cs="Calibri Light"/>
          <w:iCs/>
          <w:color w:val="auto"/>
          <w:spacing w:val="2"/>
        </w:rPr>
        <w:t xml:space="preserve">Whose Spain Is It, </w:t>
      </w:r>
      <w:proofErr w:type="gramStart"/>
      <w:r w:rsidR="00A220B0" w:rsidRPr="00F93DC2">
        <w:rPr>
          <w:rFonts w:asciiTheme="majorHAnsi" w:hAnsiTheme="majorHAnsi" w:cs="Calibri Light"/>
          <w:iCs/>
          <w:color w:val="auto"/>
          <w:spacing w:val="2"/>
        </w:rPr>
        <w:t>Anyway</w:t>
      </w:r>
      <w:proofErr w:type="gramEnd"/>
      <w:r w:rsidR="00A220B0" w:rsidRPr="00F93DC2">
        <w:rPr>
          <w:rFonts w:asciiTheme="majorHAnsi" w:hAnsiTheme="majorHAnsi" w:cs="Calibri Light"/>
          <w:iCs/>
          <w:color w:val="auto"/>
          <w:spacing w:val="2"/>
        </w:rPr>
        <w:t xml:space="preserve">?” in </w:t>
      </w:r>
      <w:r w:rsidR="00A220B0" w:rsidRPr="00696088">
        <w:rPr>
          <w:rFonts w:asciiTheme="majorHAnsi" w:hAnsiTheme="majorHAnsi" w:cs="Calibri Light"/>
          <w:i/>
          <w:color w:val="auto"/>
          <w:spacing w:val="2"/>
        </w:rPr>
        <w:t>Whose Middle Ages</w:t>
      </w:r>
      <w:r w:rsidR="00A220B0" w:rsidRPr="00F93DC2">
        <w:rPr>
          <w:rFonts w:asciiTheme="majorHAnsi" w:hAnsiTheme="majorHAnsi" w:cs="Calibri Light"/>
          <w:iCs/>
          <w:color w:val="auto"/>
          <w:spacing w:val="2"/>
        </w:rPr>
        <w:t>, pp.</w:t>
      </w:r>
      <w:r w:rsidR="00A220B0">
        <w:rPr>
          <w:rFonts w:asciiTheme="majorHAnsi" w:hAnsiTheme="majorHAnsi" w:cs="Calibri Light"/>
          <w:iCs/>
          <w:color w:val="auto"/>
          <w:spacing w:val="2"/>
        </w:rPr>
        <w:t xml:space="preserve"> </w:t>
      </w:r>
      <w:r w:rsidR="00A220B0" w:rsidRPr="00F93DC2">
        <w:rPr>
          <w:rFonts w:asciiTheme="majorHAnsi" w:hAnsiTheme="majorHAnsi" w:cs="Calibri Light"/>
          <w:iCs/>
          <w:color w:val="auto"/>
          <w:spacing w:val="2"/>
        </w:rPr>
        <w:t>181-195.</w:t>
      </w:r>
    </w:p>
    <w:p w14:paraId="6C68CFEB" w14:textId="77777777" w:rsidR="00A961A6" w:rsidRPr="00474E25" w:rsidRDefault="00A961A6" w:rsidP="00073B4D">
      <w:pPr>
        <w:pStyle w:val="Default"/>
        <w:ind w:left="720"/>
        <w:rPr>
          <w:rFonts w:asciiTheme="majorHAnsi" w:hAnsiTheme="majorHAnsi" w:cs="Calibri Light"/>
          <w:iCs/>
          <w:color w:val="auto"/>
          <w:spacing w:val="2"/>
        </w:rPr>
      </w:pPr>
    </w:p>
    <w:p w14:paraId="121944B4" w14:textId="22BCF959" w:rsidR="00073B4D" w:rsidRPr="00A220B0" w:rsidRDefault="00073B4D">
      <w:pPr>
        <w:rPr>
          <w:rFonts w:asciiTheme="majorHAnsi" w:hAnsiTheme="majorHAnsi" w:cstheme="majorHAnsi"/>
          <w:sz w:val="24"/>
          <w:szCs w:val="24"/>
        </w:rPr>
      </w:pPr>
    </w:p>
    <w:p w14:paraId="54481EFA" w14:textId="0F6DC646" w:rsidR="006804A5" w:rsidRDefault="00844E6B">
      <w:pPr>
        <w:rPr>
          <w:rFonts w:asciiTheme="majorHAnsi" w:hAnsiTheme="majorHAnsi" w:cstheme="majorHAnsi"/>
          <w:sz w:val="24"/>
          <w:szCs w:val="24"/>
        </w:rPr>
      </w:pPr>
      <w:r>
        <w:rPr>
          <w:rFonts w:asciiTheme="majorHAnsi" w:hAnsiTheme="majorHAnsi" w:cstheme="majorHAnsi"/>
          <w:sz w:val="24"/>
          <w:szCs w:val="24"/>
        </w:rPr>
        <w:t>1-</w:t>
      </w:r>
      <w:r w:rsidR="00A220B0" w:rsidRPr="00A220B0">
        <w:rPr>
          <w:rFonts w:asciiTheme="majorHAnsi" w:hAnsiTheme="majorHAnsi" w:cstheme="majorHAnsi"/>
          <w:sz w:val="24"/>
          <w:szCs w:val="24"/>
        </w:rPr>
        <w:t xml:space="preserve">What were medieval Blood Purity Laws in Spain?  Explain and define using the reading. How does the way they were used relate to the idea of race?  </w:t>
      </w:r>
    </w:p>
    <w:p w14:paraId="3D845B88" w14:textId="21524D36" w:rsidR="00C35CA3" w:rsidRDefault="00C35CA3">
      <w:pPr>
        <w:rPr>
          <w:rFonts w:asciiTheme="majorHAnsi" w:hAnsiTheme="majorHAnsi" w:cstheme="majorHAnsi"/>
          <w:sz w:val="24"/>
          <w:szCs w:val="24"/>
        </w:rPr>
      </w:pPr>
      <w:r>
        <w:rPr>
          <w:rFonts w:asciiTheme="majorHAnsi" w:hAnsiTheme="majorHAnsi" w:cstheme="majorHAnsi"/>
          <w:sz w:val="24"/>
          <w:szCs w:val="24"/>
        </w:rPr>
        <w:tab/>
        <w:t xml:space="preserve">The Blood Purity laws were </w:t>
      </w:r>
      <w:proofErr w:type="gramStart"/>
      <w:r>
        <w:rPr>
          <w:rFonts w:asciiTheme="majorHAnsi" w:hAnsiTheme="majorHAnsi" w:cstheme="majorHAnsi"/>
          <w:sz w:val="24"/>
          <w:szCs w:val="24"/>
        </w:rPr>
        <w:t>laws</w:t>
      </w:r>
      <w:proofErr w:type="gramEnd"/>
      <w:r>
        <w:rPr>
          <w:rFonts w:asciiTheme="majorHAnsi" w:hAnsiTheme="majorHAnsi" w:cstheme="majorHAnsi"/>
          <w:sz w:val="24"/>
          <w:szCs w:val="24"/>
        </w:rPr>
        <w:t xml:space="preserve"> the restricted newly converted Christians rights and freedoms of society. “These were meant to keep New Christians as second-class citizens, limit their professional and economic prospects, and reduce their social influence” (Wacks 188) Instead of using skin color to denote people. Your proximity to Judaism or Islam was used to determine your social class. This was because people could just convert and get all the benefits of Christendom, but the Christian rulers did not like this and wanted a way to separate themselves from the locals they have conquered.</w:t>
      </w:r>
    </w:p>
    <w:p w14:paraId="052CCCE3" w14:textId="53A4B1B2" w:rsidR="00844E6B" w:rsidRDefault="00844E6B">
      <w:pPr>
        <w:rPr>
          <w:rFonts w:asciiTheme="majorHAnsi" w:hAnsiTheme="majorHAnsi" w:cstheme="majorHAnsi"/>
          <w:sz w:val="24"/>
          <w:szCs w:val="24"/>
        </w:rPr>
      </w:pPr>
    </w:p>
    <w:p w14:paraId="022AE5C3" w14:textId="77777777" w:rsidR="001034A7" w:rsidRPr="00A220B0" w:rsidRDefault="001034A7">
      <w:pPr>
        <w:rPr>
          <w:rFonts w:asciiTheme="majorHAnsi" w:hAnsiTheme="majorHAnsi" w:cstheme="majorHAnsi"/>
          <w:sz w:val="24"/>
          <w:szCs w:val="24"/>
        </w:rPr>
      </w:pPr>
    </w:p>
    <w:p w14:paraId="6C1FC5DF" w14:textId="77777777" w:rsidR="00C35CA3" w:rsidRDefault="00844E6B">
      <w:pPr>
        <w:rPr>
          <w:rFonts w:asciiTheme="majorHAnsi" w:hAnsiTheme="majorHAnsi" w:cstheme="majorHAnsi"/>
          <w:sz w:val="24"/>
          <w:szCs w:val="24"/>
        </w:rPr>
      </w:pPr>
      <w:r>
        <w:rPr>
          <w:rFonts w:asciiTheme="majorHAnsi" w:hAnsiTheme="majorHAnsi" w:cstheme="majorHAnsi"/>
          <w:sz w:val="24"/>
          <w:szCs w:val="24"/>
        </w:rPr>
        <w:t>2-</w:t>
      </w:r>
      <w:r w:rsidR="00A220B0" w:rsidRPr="00A220B0">
        <w:rPr>
          <w:rFonts w:asciiTheme="majorHAnsi" w:hAnsiTheme="majorHAnsi" w:cstheme="majorHAnsi"/>
          <w:sz w:val="24"/>
          <w:szCs w:val="24"/>
        </w:rPr>
        <w:t>How were these Blood Purity Laws used to persecute Muslims and Jews who had converted to Christianity?  Give specific examples from the reading</w:t>
      </w:r>
    </w:p>
    <w:p w14:paraId="59DD3942" w14:textId="67283A40" w:rsidR="00A220B0" w:rsidRDefault="00C35CA3" w:rsidP="00C35CA3">
      <w:pPr>
        <w:ind w:firstLine="720"/>
        <w:rPr>
          <w:rFonts w:asciiTheme="majorHAnsi" w:hAnsiTheme="majorHAnsi" w:cstheme="majorHAnsi"/>
          <w:sz w:val="24"/>
          <w:szCs w:val="24"/>
        </w:rPr>
      </w:pPr>
      <w:r>
        <w:rPr>
          <w:rFonts w:asciiTheme="majorHAnsi" w:hAnsiTheme="majorHAnsi" w:cstheme="majorHAnsi"/>
          <w:sz w:val="24"/>
          <w:szCs w:val="24"/>
        </w:rPr>
        <w:t>Like above it severely limited their ability to participate in society like they had done before. These were enforced by the Spanish Inquisition</w:t>
      </w:r>
      <w:r w:rsidR="00A220B0" w:rsidRPr="00A220B0">
        <w:rPr>
          <w:rFonts w:asciiTheme="majorHAnsi" w:hAnsiTheme="majorHAnsi" w:cstheme="majorHAnsi"/>
          <w:sz w:val="24"/>
          <w:szCs w:val="24"/>
        </w:rPr>
        <w:t>.</w:t>
      </w:r>
      <w:r>
        <w:rPr>
          <w:rFonts w:asciiTheme="majorHAnsi" w:hAnsiTheme="majorHAnsi" w:cstheme="majorHAnsi"/>
          <w:sz w:val="24"/>
          <w:szCs w:val="24"/>
        </w:rPr>
        <w:t xml:space="preserve"> This was a force that would go after newly converted Christians, and heretics. “They were empowered to confiscate the property of their prisoners, with a cut going to the crown” (Wacks 189) This </w:t>
      </w:r>
      <w:proofErr w:type="gramStart"/>
      <w:r>
        <w:rPr>
          <w:rFonts w:asciiTheme="majorHAnsi" w:hAnsiTheme="majorHAnsi" w:cstheme="majorHAnsi"/>
          <w:sz w:val="24"/>
          <w:szCs w:val="24"/>
        </w:rPr>
        <w:t>force</w:t>
      </w:r>
      <w:proofErr w:type="gramEnd"/>
      <w:r>
        <w:rPr>
          <w:rFonts w:asciiTheme="majorHAnsi" w:hAnsiTheme="majorHAnsi" w:cstheme="majorHAnsi"/>
          <w:sz w:val="24"/>
          <w:szCs w:val="24"/>
        </w:rPr>
        <w:t xml:space="preserve"> and the rulers were also incentivized to persecute for the sake of money.</w:t>
      </w:r>
      <w:r w:rsidR="00A220B0">
        <w:rPr>
          <w:rFonts w:asciiTheme="majorHAnsi" w:hAnsiTheme="majorHAnsi" w:cstheme="majorHAnsi"/>
          <w:sz w:val="24"/>
          <w:szCs w:val="24"/>
        </w:rPr>
        <w:t xml:space="preserve"> </w:t>
      </w:r>
    </w:p>
    <w:p w14:paraId="6DB98F62" w14:textId="77777777" w:rsidR="001034A7" w:rsidRDefault="001034A7">
      <w:pPr>
        <w:rPr>
          <w:rFonts w:asciiTheme="majorHAnsi" w:hAnsiTheme="majorHAnsi" w:cstheme="majorHAnsi"/>
          <w:sz w:val="24"/>
          <w:szCs w:val="24"/>
        </w:rPr>
      </w:pPr>
    </w:p>
    <w:p w14:paraId="7356A67A" w14:textId="77777777" w:rsidR="00844E6B" w:rsidRPr="00A220B0" w:rsidRDefault="00844E6B">
      <w:pPr>
        <w:rPr>
          <w:rFonts w:asciiTheme="majorHAnsi" w:hAnsiTheme="majorHAnsi" w:cstheme="majorHAnsi"/>
          <w:sz w:val="24"/>
          <w:szCs w:val="24"/>
        </w:rPr>
      </w:pPr>
    </w:p>
    <w:p w14:paraId="3EE6E3B2" w14:textId="52288B3D" w:rsidR="00A220B0" w:rsidRDefault="00844E6B">
      <w:pPr>
        <w:rPr>
          <w:rFonts w:asciiTheme="majorHAnsi" w:hAnsiTheme="majorHAnsi" w:cstheme="majorHAnsi"/>
          <w:sz w:val="24"/>
          <w:szCs w:val="24"/>
        </w:rPr>
      </w:pPr>
      <w:r>
        <w:rPr>
          <w:rFonts w:asciiTheme="majorHAnsi" w:hAnsiTheme="majorHAnsi" w:cstheme="majorHAnsi"/>
          <w:sz w:val="24"/>
          <w:szCs w:val="24"/>
        </w:rPr>
        <w:t>3-</w:t>
      </w:r>
      <w:r w:rsidR="00A220B0">
        <w:rPr>
          <w:rFonts w:asciiTheme="majorHAnsi" w:hAnsiTheme="majorHAnsi" w:cstheme="majorHAnsi"/>
          <w:sz w:val="24"/>
          <w:szCs w:val="24"/>
        </w:rPr>
        <w:t xml:space="preserve">How was </w:t>
      </w:r>
      <w:r w:rsidR="00A220B0" w:rsidRPr="00A220B0">
        <w:rPr>
          <w:rFonts w:asciiTheme="majorHAnsi" w:hAnsiTheme="majorHAnsi" w:cstheme="majorHAnsi"/>
          <w:sz w:val="24"/>
          <w:szCs w:val="24"/>
        </w:rPr>
        <w:t>policing the boundaries of who was and was not Spanish equated with policing the boundaries of who was and was not really Christian</w:t>
      </w:r>
      <w:r w:rsidR="00A220B0">
        <w:rPr>
          <w:rFonts w:asciiTheme="majorHAnsi" w:hAnsiTheme="majorHAnsi" w:cstheme="majorHAnsi"/>
          <w:sz w:val="24"/>
          <w:szCs w:val="24"/>
        </w:rPr>
        <w:t xml:space="preserve"> in Spain</w:t>
      </w:r>
      <w:r w:rsidR="00A220B0" w:rsidRPr="00A220B0">
        <w:rPr>
          <w:rFonts w:asciiTheme="majorHAnsi" w:hAnsiTheme="majorHAnsi" w:cstheme="majorHAnsi"/>
          <w:sz w:val="24"/>
          <w:szCs w:val="24"/>
        </w:rPr>
        <w:t>? Using the readings, explain how this relates to why the history of Spanish Jews and Muslims are not considered by many modern Spaniards to be a part of the history of Spain.</w:t>
      </w:r>
      <w:r w:rsidR="00A220B0">
        <w:rPr>
          <w:rFonts w:asciiTheme="majorHAnsi" w:hAnsiTheme="majorHAnsi" w:cstheme="majorHAnsi"/>
          <w:sz w:val="24"/>
          <w:szCs w:val="24"/>
        </w:rPr>
        <w:t xml:space="preserve"> </w:t>
      </w:r>
    </w:p>
    <w:p w14:paraId="777775E1" w14:textId="6367514D" w:rsidR="00844E6B" w:rsidRDefault="00C35CA3">
      <w:pPr>
        <w:rPr>
          <w:rFonts w:asciiTheme="majorHAnsi" w:hAnsiTheme="majorHAnsi" w:cstheme="majorHAnsi"/>
          <w:sz w:val="24"/>
          <w:szCs w:val="24"/>
        </w:rPr>
      </w:pPr>
      <w:r>
        <w:rPr>
          <w:rFonts w:asciiTheme="majorHAnsi" w:hAnsiTheme="majorHAnsi" w:cstheme="majorHAnsi"/>
          <w:sz w:val="24"/>
          <w:szCs w:val="24"/>
        </w:rPr>
        <w:tab/>
        <w:t xml:space="preserve">It is based off the idea that Spain is a Christian Land, so if you are not Christian you are not Spanish. This goes against the large amount of history </w:t>
      </w:r>
      <w:r w:rsidR="00E37AC5">
        <w:rPr>
          <w:rFonts w:asciiTheme="majorHAnsi" w:hAnsiTheme="majorHAnsi" w:cstheme="majorHAnsi"/>
          <w:sz w:val="24"/>
          <w:szCs w:val="24"/>
        </w:rPr>
        <w:t xml:space="preserve">of Jews and Muslims in Spain. </w:t>
      </w:r>
      <w:r w:rsidR="00310F3B">
        <w:rPr>
          <w:rFonts w:asciiTheme="majorHAnsi" w:hAnsiTheme="majorHAnsi" w:cstheme="majorHAnsi"/>
          <w:sz w:val="24"/>
          <w:szCs w:val="24"/>
        </w:rPr>
        <w:t xml:space="preserve">This History that was invented means that for modern Spain one </w:t>
      </w:r>
      <w:proofErr w:type="gramStart"/>
      <w:r w:rsidR="00310F3B">
        <w:rPr>
          <w:rFonts w:asciiTheme="majorHAnsi" w:hAnsiTheme="majorHAnsi" w:cstheme="majorHAnsi"/>
          <w:sz w:val="24"/>
          <w:szCs w:val="24"/>
        </w:rPr>
        <w:t>has to</w:t>
      </w:r>
      <w:proofErr w:type="gramEnd"/>
      <w:r w:rsidR="00310F3B">
        <w:rPr>
          <w:rFonts w:asciiTheme="majorHAnsi" w:hAnsiTheme="majorHAnsi" w:cstheme="majorHAnsi"/>
          <w:sz w:val="24"/>
          <w:szCs w:val="24"/>
        </w:rPr>
        <w:t xml:space="preserve"> be Christian to claim it as home, while even if you were there for centuries but Muslim or Jewish you are now just someone who wasn’t supposed to be there and thus cannot be actually Spanish.</w:t>
      </w:r>
    </w:p>
    <w:p w14:paraId="61F7DE84" w14:textId="77777777" w:rsidR="001034A7" w:rsidRPr="00A220B0" w:rsidRDefault="001034A7">
      <w:pPr>
        <w:rPr>
          <w:rFonts w:asciiTheme="majorHAnsi" w:hAnsiTheme="majorHAnsi" w:cstheme="majorHAnsi"/>
          <w:sz w:val="24"/>
          <w:szCs w:val="24"/>
        </w:rPr>
      </w:pPr>
    </w:p>
    <w:p w14:paraId="7BC96924" w14:textId="5015087A" w:rsidR="00A220B0" w:rsidRDefault="00844E6B">
      <w:pPr>
        <w:rPr>
          <w:rFonts w:asciiTheme="majorHAnsi" w:hAnsiTheme="majorHAnsi" w:cstheme="majorHAnsi"/>
          <w:sz w:val="24"/>
          <w:szCs w:val="24"/>
        </w:rPr>
      </w:pPr>
      <w:r>
        <w:rPr>
          <w:rFonts w:asciiTheme="majorHAnsi" w:hAnsiTheme="majorHAnsi" w:cstheme="majorHAnsi"/>
          <w:sz w:val="24"/>
          <w:szCs w:val="24"/>
        </w:rPr>
        <w:t>4-</w:t>
      </w:r>
      <w:r w:rsidR="00A220B0" w:rsidRPr="00A220B0">
        <w:rPr>
          <w:rFonts w:asciiTheme="majorHAnsi" w:hAnsiTheme="majorHAnsi" w:cstheme="majorHAnsi"/>
          <w:sz w:val="24"/>
          <w:szCs w:val="24"/>
        </w:rPr>
        <w:t>On page 183, Wacks points out that [since 2015] Jews or descendants of Jews expelled from medieval Spain are able to apply for Spanish citizenship, but formerly expelled Muslims and their descendants are not.  Explain how this works and the reasons given for it using the reading. What do you think of this policy offering expelled Spanish Jews citizenship?</w:t>
      </w:r>
    </w:p>
    <w:p w14:paraId="7EE66C54" w14:textId="51334D28" w:rsidR="00E37AC5" w:rsidRDefault="00E37AC5">
      <w:pPr>
        <w:rPr>
          <w:rFonts w:asciiTheme="majorHAnsi" w:hAnsiTheme="majorHAnsi" w:cstheme="majorHAnsi"/>
          <w:sz w:val="24"/>
          <w:szCs w:val="24"/>
        </w:rPr>
      </w:pPr>
      <w:r>
        <w:rPr>
          <w:rFonts w:asciiTheme="majorHAnsi" w:hAnsiTheme="majorHAnsi" w:cstheme="majorHAnsi"/>
          <w:sz w:val="24"/>
          <w:szCs w:val="24"/>
        </w:rPr>
        <w:tab/>
        <w:t xml:space="preserve">This policy seems good, but I have questions on how one can prove heritage to events of more than 500 years ago. It seems like a way to appease people without </w:t>
      </w:r>
      <w:proofErr w:type="gramStart"/>
      <w:r>
        <w:rPr>
          <w:rFonts w:asciiTheme="majorHAnsi" w:hAnsiTheme="majorHAnsi" w:cstheme="majorHAnsi"/>
          <w:sz w:val="24"/>
          <w:szCs w:val="24"/>
        </w:rPr>
        <w:t>actually doing</w:t>
      </w:r>
      <w:proofErr w:type="gramEnd"/>
      <w:r>
        <w:rPr>
          <w:rFonts w:asciiTheme="majorHAnsi" w:hAnsiTheme="majorHAnsi" w:cstheme="majorHAnsi"/>
          <w:sz w:val="24"/>
          <w:szCs w:val="24"/>
        </w:rPr>
        <w:t xml:space="preserve"> anything different as it says nothing about looking back at Jewish and Muslim culture and their history on the peninsula before the expulsion. It is interesting that Muslims do not get the same courtesy. The reason being they “are still considered strangers in their ancestral lands” (Wacks 183) It doesn’t make sense to recognize some Jewish heritage and no Muslim when the two were large parts of history together.</w:t>
      </w:r>
    </w:p>
    <w:p w14:paraId="378D71AD" w14:textId="7D205833" w:rsidR="00844E6B" w:rsidRDefault="00844E6B">
      <w:pPr>
        <w:rPr>
          <w:rFonts w:asciiTheme="majorHAnsi" w:hAnsiTheme="majorHAnsi" w:cstheme="majorHAnsi"/>
          <w:sz w:val="24"/>
          <w:szCs w:val="24"/>
        </w:rPr>
      </w:pPr>
    </w:p>
    <w:p w14:paraId="5CE4A319" w14:textId="77777777" w:rsidR="001034A7" w:rsidRPr="00A220B0" w:rsidRDefault="001034A7">
      <w:pPr>
        <w:rPr>
          <w:rFonts w:asciiTheme="majorHAnsi" w:hAnsiTheme="majorHAnsi" w:cstheme="majorHAnsi"/>
          <w:sz w:val="24"/>
          <w:szCs w:val="24"/>
        </w:rPr>
      </w:pPr>
    </w:p>
    <w:p w14:paraId="3D4D29A3" w14:textId="2F06BBE3" w:rsidR="00A220B0" w:rsidRDefault="00844E6B" w:rsidP="00A220B0">
      <w:pPr>
        <w:pStyle w:val="NormalWeb"/>
        <w:rPr>
          <w:rFonts w:asciiTheme="majorHAnsi" w:hAnsiTheme="majorHAnsi" w:cstheme="majorHAnsi"/>
        </w:rPr>
      </w:pPr>
      <w:r>
        <w:rPr>
          <w:rFonts w:asciiTheme="majorHAnsi" w:hAnsiTheme="majorHAnsi" w:cstheme="majorHAnsi"/>
        </w:rPr>
        <w:t>5-</w:t>
      </w:r>
      <w:r w:rsidR="00A220B0" w:rsidRPr="00A220B0">
        <w:rPr>
          <w:rFonts w:asciiTheme="majorHAnsi" w:hAnsiTheme="majorHAnsi" w:cstheme="majorHAnsi"/>
        </w:rPr>
        <w:t xml:space="preserve">While Spain’s Jewish history is not as visible today, a lot of Spanish heritage (and tourist sites) are visibly from medieval Muslim Spain. Describe and explain some examples using the reading.  How do you think this might relate to why the descendants of Spanish Muslims have not been given the same offer of citizenship as Spanish Jews?  </w:t>
      </w:r>
    </w:p>
    <w:p w14:paraId="513DDA05" w14:textId="3A505583" w:rsidR="00E37AC5" w:rsidRPr="00A220B0" w:rsidRDefault="00E37AC5" w:rsidP="00A220B0">
      <w:pPr>
        <w:pStyle w:val="NormalWeb"/>
        <w:rPr>
          <w:rFonts w:asciiTheme="majorHAnsi" w:hAnsiTheme="majorHAnsi" w:cstheme="majorHAnsi"/>
        </w:rPr>
      </w:pPr>
      <w:r>
        <w:rPr>
          <w:rFonts w:asciiTheme="majorHAnsi" w:hAnsiTheme="majorHAnsi" w:cstheme="majorHAnsi"/>
        </w:rPr>
        <w:tab/>
        <w:t xml:space="preserve">Potentially one of the reasons Spanish Muslims were not given the same offer as Spanish Jews is that many of the monuments are from Muslims that have been appropriated by the Christians like “the </w:t>
      </w:r>
      <w:proofErr w:type="spellStart"/>
      <w:r>
        <w:rPr>
          <w:rFonts w:asciiTheme="majorHAnsi" w:hAnsiTheme="majorHAnsi" w:cstheme="majorHAnsi"/>
        </w:rPr>
        <w:t>Giralda</w:t>
      </w:r>
      <w:proofErr w:type="spellEnd"/>
      <w:r>
        <w:rPr>
          <w:rFonts w:asciiTheme="majorHAnsi" w:hAnsiTheme="majorHAnsi" w:cstheme="majorHAnsi"/>
        </w:rPr>
        <w:t xml:space="preserve"> (ex-minaret, current bell tower) of Cathedral of Seville)” (Wacks 184) Here to acknowledge the Muslims who built the minaret would mean that appropriating it was wrong. It is easier to acknowledge the Jewish Heritage because while they were free the Dhimmi System. They did not have as much as the Muslims and can be more quietly brought back. While to offer citizenships to Muslims would mean to admit that they were </w:t>
      </w:r>
      <w:proofErr w:type="gramStart"/>
      <w:r>
        <w:rPr>
          <w:rFonts w:asciiTheme="majorHAnsi" w:hAnsiTheme="majorHAnsi" w:cstheme="majorHAnsi"/>
        </w:rPr>
        <w:t>here</w:t>
      </w:r>
      <w:proofErr w:type="gramEnd"/>
      <w:r>
        <w:rPr>
          <w:rFonts w:asciiTheme="majorHAnsi" w:hAnsiTheme="majorHAnsi" w:cstheme="majorHAnsi"/>
        </w:rPr>
        <w:t xml:space="preserve"> and the current churches and cathedrals were once theirs as Mosques.</w:t>
      </w:r>
    </w:p>
    <w:p w14:paraId="60BB74F0" w14:textId="12821626" w:rsidR="006804A5" w:rsidRDefault="006804A5">
      <w:pPr>
        <w:rPr>
          <w:rFonts w:asciiTheme="majorHAnsi" w:hAnsiTheme="majorHAnsi" w:cstheme="majorHAnsi"/>
          <w:sz w:val="24"/>
          <w:szCs w:val="24"/>
        </w:rPr>
      </w:pPr>
    </w:p>
    <w:p w14:paraId="41704CB0" w14:textId="12BA89D5" w:rsidR="005D555B" w:rsidRPr="009E297B" w:rsidRDefault="005D555B">
      <w:pPr>
        <w:rPr>
          <w:rFonts w:asciiTheme="majorHAnsi" w:hAnsiTheme="majorHAnsi" w:cstheme="majorHAnsi"/>
          <w:sz w:val="24"/>
          <w:szCs w:val="24"/>
        </w:rPr>
      </w:pPr>
    </w:p>
    <w:sectPr w:rsidR="005D555B" w:rsidRPr="009E297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7DF610" w14:textId="77777777" w:rsidR="00267701" w:rsidRDefault="00267701" w:rsidP="00EA0484">
      <w:pPr>
        <w:spacing w:after="0" w:line="240" w:lineRule="auto"/>
      </w:pPr>
      <w:r>
        <w:separator/>
      </w:r>
    </w:p>
  </w:endnote>
  <w:endnote w:type="continuationSeparator" w:id="0">
    <w:p w14:paraId="4753B5F6" w14:textId="77777777" w:rsidR="00267701" w:rsidRDefault="00267701" w:rsidP="00EA04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8C55EC" w14:textId="77777777" w:rsidR="00267701" w:rsidRDefault="00267701" w:rsidP="00EA0484">
      <w:pPr>
        <w:spacing w:after="0" w:line="240" w:lineRule="auto"/>
      </w:pPr>
      <w:r>
        <w:separator/>
      </w:r>
    </w:p>
  </w:footnote>
  <w:footnote w:type="continuationSeparator" w:id="0">
    <w:p w14:paraId="31DB4976" w14:textId="77777777" w:rsidR="00267701" w:rsidRDefault="00267701" w:rsidP="00EA04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A0E657" w14:textId="46D22EB1" w:rsidR="00EA0484" w:rsidRDefault="00EA0484">
    <w:pPr>
      <w:pStyle w:val="Header"/>
    </w:pPr>
    <w:r>
      <w:t>HIST 11</w:t>
    </w:r>
    <w:r w:rsidR="001034A7">
      <w:t>7</w:t>
    </w:r>
  </w:p>
  <w:p w14:paraId="588A47D1" w14:textId="361A8435" w:rsidR="00EA0484" w:rsidRDefault="00EA0484">
    <w:pPr>
      <w:pStyle w:val="Header"/>
    </w:pPr>
    <w:r>
      <w:t>Dr. Jones</w:t>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3D2EFF"/>
    <w:multiLevelType w:val="hybridMultilevel"/>
    <w:tmpl w:val="AA1A15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737897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534"/>
    <w:rsid w:val="000337DF"/>
    <w:rsid w:val="00073B4D"/>
    <w:rsid w:val="000F57AB"/>
    <w:rsid w:val="001034A7"/>
    <w:rsid w:val="00174BDF"/>
    <w:rsid w:val="00175534"/>
    <w:rsid w:val="002339BD"/>
    <w:rsid w:val="00267701"/>
    <w:rsid w:val="002D5C69"/>
    <w:rsid w:val="00306A67"/>
    <w:rsid w:val="00310F3B"/>
    <w:rsid w:val="00314570"/>
    <w:rsid w:val="003938F3"/>
    <w:rsid w:val="004430B1"/>
    <w:rsid w:val="0048071F"/>
    <w:rsid w:val="005562F0"/>
    <w:rsid w:val="005A527F"/>
    <w:rsid w:val="005C2392"/>
    <w:rsid w:val="005D555B"/>
    <w:rsid w:val="0065549B"/>
    <w:rsid w:val="006663C4"/>
    <w:rsid w:val="006804A5"/>
    <w:rsid w:val="00696088"/>
    <w:rsid w:val="006C5EFC"/>
    <w:rsid w:val="00735E8B"/>
    <w:rsid w:val="00790C60"/>
    <w:rsid w:val="00804DAC"/>
    <w:rsid w:val="00844E6B"/>
    <w:rsid w:val="008800E7"/>
    <w:rsid w:val="0089200C"/>
    <w:rsid w:val="008B7321"/>
    <w:rsid w:val="00901F74"/>
    <w:rsid w:val="00946886"/>
    <w:rsid w:val="009B190D"/>
    <w:rsid w:val="009B401D"/>
    <w:rsid w:val="009C60F0"/>
    <w:rsid w:val="009E297B"/>
    <w:rsid w:val="00A220B0"/>
    <w:rsid w:val="00A22B78"/>
    <w:rsid w:val="00A961A6"/>
    <w:rsid w:val="00B120C2"/>
    <w:rsid w:val="00B41630"/>
    <w:rsid w:val="00B44CC0"/>
    <w:rsid w:val="00C00892"/>
    <w:rsid w:val="00C35CA3"/>
    <w:rsid w:val="00C559FA"/>
    <w:rsid w:val="00D04E21"/>
    <w:rsid w:val="00D1478B"/>
    <w:rsid w:val="00D658BC"/>
    <w:rsid w:val="00DA6A7F"/>
    <w:rsid w:val="00E37AC5"/>
    <w:rsid w:val="00EA0484"/>
    <w:rsid w:val="00F96C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CC951"/>
  <w15:chartTrackingRefBased/>
  <w15:docId w15:val="{6CFE583C-F5E1-4C2D-8A33-B70E7CD0F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534"/>
    <w:rPr>
      <w:rFonts w:eastAsia="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D555B"/>
    <w:pPr>
      <w:autoSpaceDE w:val="0"/>
      <w:autoSpaceDN w:val="0"/>
      <w:adjustRightInd w:val="0"/>
      <w:spacing w:after="0" w:line="240" w:lineRule="auto"/>
    </w:pPr>
    <w:rPr>
      <w:rFonts w:ascii="Garamond" w:eastAsia="Times New Roman" w:hAnsi="Garamond" w:cs="Garamond"/>
      <w:color w:val="000000"/>
      <w:sz w:val="24"/>
      <w:szCs w:val="24"/>
    </w:rPr>
  </w:style>
  <w:style w:type="paragraph" w:styleId="Header">
    <w:name w:val="header"/>
    <w:basedOn w:val="Normal"/>
    <w:link w:val="HeaderChar"/>
    <w:uiPriority w:val="99"/>
    <w:unhideWhenUsed/>
    <w:rsid w:val="00EA04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0484"/>
    <w:rPr>
      <w:rFonts w:eastAsia="Times New Roman" w:cs="Times New Roman"/>
    </w:rPr>
  </w:style>
  <w:style w:type="paragraph" w:styleId="Footer">
    <w:name w:val="footer"/>
    <w:basedOn w:val="Normal"/>
    <w:link w:val="FooterChar"/>
    <w:uiPriority w:val="99"/>
    <w:unhideWhenUsed/>
    <w:rsid w:val="00EA04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0484"/>
    <w:rPr>
      <w:rFonts w:eastAsia="Times New Roman" w:cs="Times New Roman"/>
    </w:rPr>
  </w:style>
  <w:style w:type="paragraph" w:styleId="NormalWeb">
    <w:name w:val="Normal (Web)"/>
    <w:basedOn w:val="Normal"/>
    <w:uiPriority w:val="99"/>
    <w:unhideWhenUsed/>
    <w:rsid w:val="00F96C62"/>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2339BD"/>
    <w:rPr>
      <w:rFonts w:cs="Times New Roman"/>
      <w:color w:val="0563C1" w:themeColor="hyperlink"/>
      <w:u w:val="single"/>
    </w:rPr>
  </w:style>
  <w:style w:type="character" w:styleId="UnresolvedMention">
    <w:name w:val="Unresolved Mention"/>
    <w:basedOn w:val="DefaultParagraphFont"/>
    <w:uiPriority w:val="99"/>
    <w:semiHidden/>
    <w:unhideWhenUsed/>
    <w:rsid w:val="002339BD"/>
    <w:rPr>
      <w:color w:val="605E5C"/>
      <w:shd w:val="clear" w:color="auto" w:fill="E1DFDD"/>
    </w:rPr>
  </w:style>
  <w:style w:type="paragraph" w:styleId="ListParagraph">
    <w:name w:val="List Paragraph"/>
    <w:basedOn w:val="Normal"/>
    <w:uiPriority w:val="34"/>
    <w:qFormat/>
    <w:rsid w:val="00C35C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4144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632</Words>
  <Characters>3603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dc:creator>
  <cp:keywords/>
  <dc:description/>
  <cp:lastModifiedBy>Haldrup, Garrett Sigurd (Student)</cp:lastModifiedBy>
  <cp:revision>2</cp:revision>
  <dcterms:created xsi:type="dcterms:W3CDTF">2025-04-10T17:34:00Z</dcterms:created>
  <dcterms:modified xsi:type="dcterms:W3CDTF">2025-04-10T17:34:00Z</dcterms:modified>
</cp:coreProperties>
</file>